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9D2D" w14:textId="77777777" w:rsidR="00E908BB" w:rsidRDefault="00A971DA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物理学院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本科教学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“优课优酬”奖励实施细则</w:t>
      </w:r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）</w:t>
      </w:r>
    </w:p>
    <w:p w14:paraId="0C85FC69" w14:textId="77777777" w:rsidR="00E908BB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为充分调动教师从事一线本科教学工作的积极性，扎实推进“课程思政”工作，引导教师进一步强化“标准”意识、通过进一步优化教学内容、创新课程教学方法与手段，提升课程教学质量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根据《浙江工业大学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>
        <w:rPr>
          <w:rFonts w:ascii="仿宋_GB2312" w:eastAsia="仿宋_GB2312" w:hAnsi="仿宋_GB2312" w:cs="仿宋_GB2312" w:hint="eastAsia"/>
          <w:sz w:val="32"/>
          <w:szCs w:val="32"/>
        </w:rPr>
        <w:t>“优课优酬”奖励实施办法》文件精神，经学院研究，制定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物理学院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“优课优酬”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奖励实施细则。</w:t>
      </w:r>
    </w:p>
    <w:p w14:paraId="116E3840" w14:textId="77777777" w:rsidR="00E908BB" w:rsidRPr="005F003D" w:rsidRDefault="00A971DA">
      <w:pPr>
        <w:pStyle w:val="1"/>
        <w:adjustRightInd w:val="0"/>
        <w:snapToGrid w:val="0"/>
        <w:spacing w:line="360" w:lineRule="auto"/>
        <w:ind w:leftChars="200" w:left="420" w:firstLineChars="0" w:firstLine="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一、</w:t>
      </w: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申报条件</w:t>
      </w:r>
    </w:p>
    <w:p w14:paraId="4A4D815D" w14:textId="77777777" w:rsidR="00E908BB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物理学院本科教学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“优课优酬”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，是面向</w:t>
      </w:r>
      <w:r>
        <w:rPr>
          <w:rFonts w:ascii="仿宋_GB2312" w:eastAsia="仿宋_GB2312" w:hAnsi="仿宋_GB2312" w:cs="仿宋_GB2312" w:hint="eastAsia"/>
          <w:sz w:val="32"/>
          <w:szCs w:val="32"/>
        </w:rPr>
        <w:t>物理学院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承担全日制本科生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含全日制学历留学生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教学任务的一线教师而设立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主讲教师需满足以下条件：</w:t>
      </w:r>
    </w:p>
    <w:p w14:paraId="3972DD90" w14:textId="77777777" w:rsidR="00E908BB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主讲教师师德高尚，主讲一门及以上本科课程，无教学事故及学术不端等行为。</w:t>
      </w:r>
    </w:p>
    <w:p w14:paraId="0274DCC5" w14:textId="77777777" w:rsidR="00E908BB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主讲教师在教学中使用符合学校相关要求的教材并积极贯彻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课程思政的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教学效果优良</w:t>
      </w:r>
      <w:r>
        <w:rPr>
          <w:rFonts w:ascii="仿宋_GB2312" w:eastAsia="仿宋_GB2312" w:hAnsi="仿宋_GB2312" w:cs="仿宋_GB2312" w:hint="eastAsia"/>
          <w:sz w:val="32"/>
          <w:szCs w:val="32"/>
        </w:rPr>
        <w:t>，“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课程思政”和育人工作成效显著。</w:t>
      </w:r>
    </w:p>
    <w:p w14:paraId="6F966A82" w14:textId="77777777" w:rsidR="00E908BB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主讲教师所授课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程基本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教学文档齐全完备。理论课程、独立设置的实验课程和实践教学环节的教学文档应包含教学大纲、授课计划、教学设计、课件、反映课程过程性评价的学生成绩登记册、批改的作业及试卷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或实验报告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等。实习环节的教学文档应包括教学大纲、授课计划、实践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指导记录、实践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报告批改记录等。</w:t>
      </w:r>
    </w:p>
    <w:p w14:paraId="32D31E3C" w14:textId="77777777" w:rsidR="00E908BB" w:rsidRPr="005F003D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5F003D">
        <w:rPr>
          <w:rFonts w:ascii="仿宋_GB2312" w:eastAsia="仿宋_GB2312" w:hAnsi="仿宋_GB2312" w:cs="仿宋_GB2312" w:hint="eastAsia"/>
          <w:sz w:val="32"/>
          <w:szCs w:val="32"/>
        </w:rPr>
        <w:t>坚持</w:t>
      </w:r>
      <w:proofErr w:type="gramStart"/>
      <w:r w:rsidRPr="005F003D">
        <w:rPr>
          <w:rFonts w:ascii="仿宋_GB2312" w:eastAsia="仿宋_GB2312" w:hAnsi="仿宋_GB2312" w:cs="仿宋_GB2312" w:hint="eastAsia"/>
          <w:sz w:val="32"/>
          <w:szCs w:val="32"/>
        </w:rPr>
        <w:t>落实考教分离</w:t>
      </w:r>
      <w:proofErr w:type="gramEnd"/>
      <w:r w:rsidRPr="005F003D">
        <w:rPr>
          <w:rFonts w:ascii="仿宋_GB2312" w:eastAsia="仿宋_GB2312" w:hAnsi="仿宋_GB2312" w:cs="仿宋_GB2312" w:hint="eastAsia"/>
          <w:sz w:val="32"/>
          <w:szCs w:val="32"/>
        </w:rPr>
        <w:t>原则。</w:t>
      </w:r>
      <w:r w:rsidRPr="005F003D">
        <w:rPr>
          <w:rFonts w:ascii="仿宋_GB2312" w:eastAsia="仿宋_GB2312" w:hAnsi="仿宋_GB2312" w:cs="仿宋_GB2312" w:hint="eastAsia"/>
          <w:sz w:val="32"/>
          <w:szCs w:val="32"/>
        </w:rPr>
        <w:t>同一课程编号</w:t>
      </w:r>
      <w:r w:rsidRPr="005F003D">
        <w:rPr>
          <w:rFonts w:ascii="仿宋_GB2312" w:eastAsia="仿宋_GB2312" w:hAnsi="仿宋_GB2312" w:cs="仿宋_GB2312" w:hint="eastAsia"/>
          <w:sz w:val="32"/>
          <w:szCs w:val="32"/>
        </w:rPr>
        <w:t>的两名主讲教师及</w:t>
      </w:r>
      <w:r w:rsidRPr="005F003D">
        <w:rPr>
          <w:rFonts w:ascii="仿宋_GB2312" w:eastAsia="仿宋_GB2312" w:hAnsi="仿宋_GB2312" w:cs="仿宋_GB2312" w:hint="eastAsia"/>
          <w:sz w:val="32"/>
          <w:szCs w:val="32"/>
        </w:rPr>
        <w:t>以上授课</w:t>
      </w:r>
      <w:r w:rsidRPr="005F003D">
        <w:rPr>
          <w:rFonts w:ascii="仿宋_GB2312" w:eastAsia="仿宋_GB2312" w:hAnsi="仿宋_GB2312" w:cs="仿宋_GB2312" w:hint="eastAsia"/>
          <w:sz w:val="32"/>
          <w:szCs w:val="32"/>
        </w:rPr>
        <w:t>本科课程</w:t>
      </w:r>
      <w:r w:rsidRPr="005F003D">
        <w:rPr>
          <w:rFonts w:ascii="仿宋_GB2312" w:eastAsia="仿宋_GB2312" w:hAnsi="仿宋_GB2312" w:cs="仿宋_GB2312" w:hint="eastAsia"/>
          <w:sz w:val="32"/>
          <w:szCs w:val="32"/>
        </w:rPr>
        <w:t>（实践类课程除外）</w:t>
      </w:r>
      <w:r w:rsidRPr="005F003D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proofErr w:type="gramStart"/>
      <w:r w:rsidRPr="005F003D"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Pr="005F003D">
        <w:rPr>
          <w:rFonts w:ascii="仿宋_GB2312" w:eastAsia="仿宋_GB2312" w:hAnsi="仿宋_GB2312" w:cs="仿宋_GB2312" w:hint="eastAsia"/>
          <w:sz w:val="32"/>
          <w:szCs w:val="32"/>
        </w:rPr>
        <w:t>考教分离</w:t>
      </w:r>
      <w:proofErr w:type="gramEnd"/>
      <w:r w:rsidRPr="005F003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F280411" w14:textId="77777777" w:rsidR="00E908BB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教学效果综合评价优秀。课程应按照基本原则进行综合评价并获得优秀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7ADC688" w14:textId="77777777" w:rsidR="00E908BB" w:rsidRDefault="00A971DA">
      <w:pPr>
        <w:pStyle w:val="1"/>
        <w:adjustRightInd w:val="0"/>
        <w:snapToGrid w:val="0"/>
        <w:spacing w:line="360" w:lineRule="auto"/>
        <w:ind w:leftChars="200" w:left="420" w:firstLineChars="0" w:firstLine="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二、组织架构</w:t>
      </w:r>
    </w:p>
    <w:p w14:paraId="5EC8B438" w14:textId="77777777" w:rsidR="00E908BB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物理学院本科教学“优课优酬”奖励遴选工作由学院负责执行。工作小组由学院教学委员会、本科教学督导组、基层教学组织等部门成员组成，经各部门推荐、复核、学院纪委抽签产生，提交学院党政联席会议审议通过并公示。</w:t>
      </w:r>
    </w:p>
    <w:p w14:paraId="1B783DA0" w14:textId="77777777" w:rsidR="00E908BB" w:rsidRDefault="00A971D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专家回避制度，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学院本科教学“优课优酬”奖励遴选工作小组成员参评采取回避制度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，不参与本人负责及本人参与申报小组所在的各类评分，分数由其他成员所打分数的平均分代替。</w:t>
      </w:r>
    </w:p>
    <w:p w14:paraId="047BFE94" w14:textId="77777777" w:rsidR="00E908BB" w:rsidRDefault="00A971DA">
      <w:pPr>
        <w:pStyle w:val="1"/>
        <w:adjustRightInd w:val="0"/>
        <w:snapToGrid w:val="0"/>
        <w:spacing w:line="360" w:lineRule="auto"/>
        <w:ind w:leftChars="200" w:left="420" w:firstLineChars="0" w:firstLine="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三、具体方案</w:t>
      </w:r>
    </w:p>
    <w:p w14:paraId="3877615D" w14:textId="77777777" w:rsidR="00E908BB" w:rsidRDefault="00A971DA">
      <w:pPr>
        <w:pStyle w:val="10"/>
        <w:spacing w:line="36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物理学院本科教学“优课优酬”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奖励按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当前学期物理学院本科“优课优酬”奖可推荐门次数进行初评和排序推荐，除学院直接推荐的课程外，剩余申报课程根据综合评价总分由高至低进行排序推荐。</w:t>
      </w:r>
    </w:p>
    <w:p w14:paraId="11AED1FC" w14:textId="77777777" w:rsidR="00E908BB" w:rsidRPr="005F003D" w:rsidRDefault="00A971DA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直接推荐：</w:t>
      </w:r>
    </w:p>
    <w:p w14:paraId="5254BCB3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学院直接推荐比例为学校划定可推荐门次数的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，采用教师自荐或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所在系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部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推荐等</w:t>
      </w:r>
      <w:r>
        <w:rPr>
          <w:rFonts w:ascii="仿宋_GB2312" w:eastAsia="仿宋_GB2312" w:hAnsi="仿宋_GB2312" w:cs="仿宋_GB2312" w:hint="eastAsia"/>
          <w:sz w:val="32"/>
          <w:szCs w:val="32"/>
        </w:rPr>
        <w:t>形式，主要面向致力学院本科教学建设的主讲教师。</w:t>
      </w:r>
    </w:p>
    <w:p w14:paraId="04F7E985" w14:textId="77777777" w:rsidR="00E908BB" w:rsidRPr="005F003D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申请满足条件：</w:t>
      </w:r>
    </w:p>
    <w:p w14:paraId="2B51CBCC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）教师积极投身教学研究，不断适应当前本科教学改革对教师教学模式的新挑战，主动加压，不断提升自身知识素养与专业能力，主持省级及以上教学研究类建设项目；</w:t>
      </w:r>
    </w:p>
    <w:p w14:paraId="0BCFF350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）教师积极参与教学类比赛，并获得校级及以上奖项；</w:t>
      </w:r>
    </w:p>
    <w:p w14:paraId="0F783539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）教师致力专业建设与学科建设，围绕一流专业、一流课程、专业核心课程、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课程思政建设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示范课程等积极开展教学建设，具备可支撑的佐证材料。</w:t>
      </w:r>
    </w:p>
    <w:p w14:paraId="55C9A802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主讲教师符合以上条件之一，即可申请直接推荐，申请时提供证明材料供学院工作小组认定。佐证材料要求与申报课程紧密相关，仅可申请某一对应教学班，当前学期如放弃申请，则可保留资格延期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年。</w:t>
      </w:r>
    </w:p>
    <w:p w14:paraId="76A3BF5F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教学团队获奖项目，原则上可供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位主讲教师享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受推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lastRenderedPageBreak/>
        <w:t>荐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资格，团队其他成员可通过奖励分的形式享受加分。</w:t>
      </w:r>
    </w:p>
    <w:p w14:paraId="5B92E556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综合评价：</w:t>
      </w:r>
    </w:p>
    <w:p w14:paraId="4A01DAD7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按照物理学院本科教学“优课优酬”奖励综合评价总分由高到低排序推荐，总分构成如下：</w:t>
      </w:r>
    </w:p>
    <w:p w14:paraId="0B3F582B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有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学评价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的课程：课程综合评价总分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 xml:space="preserve"> =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学生学评课×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30% +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教学效果评价×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50% +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奖励分×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20%</w:t>
      </w:r>
    </w:p>
    <w:p w14:paraId="11573753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无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学评价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的课程：课程综合评价总分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 xml:space="preserve"> =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教学效果评价×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80%+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奖励分×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20%</w:t>
      </w:r>
    </w:p>
    <w:p w14:paraId="0896E60B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综合评价各指标解释：</w:t>
      </w:r>
    </w:p>
    <w:p w14:paraId="2E726E58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学生学评课：本学期申报课程学评课，学生学评课评价全校完全满意度和全校基本满意度之和达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以上，进入专家评审，低于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，不予评审推荐。</w:t>
      </w:r>
    </w:p>
    <w:p w14:paraId="020CEC48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主讲教师申报课程学评课排名在全校后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，则取消评审推荐资格。</w:t>
      </w:r>
    </w:p>
    <w:p w14:paraId="7FC5DCA4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教学效果评价：由学院工作小组结合教师提交的教学文档进行考核，审查教学资料是否完备，是否符合相关规定和要求。</w:t>
      </w:r>
    </w:p>
    <w:p w14:paraId="238C537C" w14:textId="77777777" w:rsidR="00E908BB" w:rsidRDefault="00A971DA">
      <w:pPr>
        <w:pStyle w:val="1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lastRenderedPageBreak/>
        <w:t>2.2</w:t>
      </w: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教学效果评价通过组织教学团队观摩教学，开展同行评议</w:t>
      </w: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 w:rsidRPr="005F003D">
        <w:rPr>
          <w:rFonts w:ascii="Times New Roman" w:eastAsia="仿宋_GB2312" w:hAnsi="Times New Roman"/>
          <w:sz w:val="32"/>
          <w:szCs w:val="32"/>
        </w:rPr>
        <w:t>同行评议须通过基层教学组织进行，评议小组原则上不少于</w:t>
      </w:r>
      <w:r w:rsidRPr="005F003D">
        <w:rPr>
          <w:rFonts w:ascii="Times New Roman" w:eastAsia="仿宋_GB2312" w:hAnsi="Times New Roman"/>
          <w:sz w:val="32"/>
          <w:szCs w:val="32"/>
        </w:rPr>
        <w:t>5</w:t>
      </w:r>
      <w:r w:rsidRPr="005F003D">
        <w:rPr>
          <w:rFonts w:ascii="Times New Roman" w:eastAsia="仿宋_GB2312" w:hAnsi="Times New Roman"/>
          <w:sz w:val="32"/>
          <w:szCs w:val="32"/>
        </w:rPr>
        <w:t>人</w:t>
      </w: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）、组织评审</w:t>
      </w:r>
      <w:proofErr w:type="gramStart"/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专家组随堂</w:t>
      </w:r>
      <w:proofErr w:type="gramEnd"/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听课、组织学生座谈会了解学情、</w:t>
      </w: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现场说课</w:t>
      </w:r>
      <w:r w:rsidRPr="005F003D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、结题汇报等方式，由学院工作小组根据学期教学具体情况独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立负责执行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并做好相关过程记录上交学院备案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14:paraId="554701EE" w14:textId="77777777" w:rsidR="00E908BB" w:rsidRDefault="00A971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奖励分：申报学期内参加各类院级以上的本科教学建设类项目或教学类比赛，评审期间内提供证明材料，奖励由学院工作小组认定。要求获奖证明材料与申报课程紧密相关的，且一个项目奖励分计入一门相关性课程。</w:t>
      </w:r>
    </w:p>
    <w:p w14:paraId="75ED2E42" w14:textId="77777777" w:rsidR="00E908BB" w:rsidRDefault="00E908BB">
      <w:pPr>
        <w:adjustRightInd w:val="0"/>
        <w:snapToGrid w:val="0"/>
        <w:spacing w:line="288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5"/>
        <w:gridCol w:w="1275"/>
        <w:gridCol w:w="1276"/>
        <w:gridCol w:w="1701"/>
      </w:tblGrid>
      <w:tr w:rsidR="00E908BB" w14:paraId="03F32011" w14:textId="77777777">
        <w:trPr>
          <w:trHeight w:val="617"/>
          <w:jc w:val="center"/>
        </w:trPr>
        <w:tc>
          <w:tcPr>
            <w:tcW w:w="1951" w:type="dxa"/>
            <w:vAlign w:val="center"/>
          </w:tcPr>
          <w:p w14:paraId="08DAF1F2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奖励项</w:t>
            </w:r>
          </w:p>
        </w:tc>
        <w:tc>
          <w:tcPr>
            <w:tcW w:w="1275" w:type="dxa"/>
            <w:vAlign w:val="center"/>
          </w:tcPr>
          <w:p w14:paraId="30A6894D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院级项目</w:t>
            </w:r>
          </w:p>
        </w:tc>
        <w:tc>
          <w:tcPr>
            <w:tcW w:w="1275" w:type="dxa"/>
            <w:vAlign w:val="center"/>
          </w:tcPr>
          <w:p w14:paraId="25DC510C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校级项目</w:t>
            </w:r>
          </w:p>
        </w:tc>
        <w:tc>
          <w:tcPr>
            <w:tcW w:w="1276" w:type="dxa"/>
            <w:vAlign w:val="center"/>
          </w:tcPr>
          <w:p w14:paraId="0259DED9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省级项目</w:t>
            </w:r>
          </w:p>
        </w:tc>
        <w:tc>
          <w:tcPr>
            <w:tcW w:w="1701" w:type="dxa"/>
            <w:vAlign w:val="center"/>
          </w:tcPr>
          <w:p w14:paraId="0C7085C4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国家级项目</w:t>
            </w:r>
          </w:p>
        </w:tc>
      </w:tr>
      <w:tr w:rsidR="00E908BB" w14:paraId="5A01DF2A" w14:textId="77777777">
        <w:trPr>
          <w:trHeight w:val="422"/>
          <w:jc w:val="center"/>
        </w:trPr>
        <w:tc>
          <w:tcPr>
            <w:tcW w:w="1951" w:type="dxa"/>
            <w:vAlign w:val="center"/>
          </w:tcPr>
          <w:p w14:paraId="3A993F04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 w:rsidRPr="005F003D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主持项目或比赛获奖（团队比赛需排名第一）</w:t>
            </w:r>
          </w:p>
        </w:tc>
        <w:tc>
          <w:tcPr>
            <w:tcW w:w="1275" w:type="dxa"/>
            <w:vAlign w:val="center"/>
          </w:tcPr>
          <w:p w14:paraId="5E1B1FB8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14:paraId="7F66FA6B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14:paraId="3D4B003C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14:paraId="24EF9127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8</w:t>
            </w:r>
          </w:p>
        </w:tc>
      </w:tr>
      <w:tr w:rsidR="00E908BB" w14:paraId="6CCA4D21" w14:textId="77777777">
        <w:trPr>
          <w:trHeight w:val="422"/>
          <w:jc w:val="center"/>
        </w:trPr>
        <w:tc>
          <w:tcPr>
            <w:tcW w:w="1951" w:type="dxa"/>
            <w:vAlign w:val="center"/>
          </w:tcPr>
          <w:p w14:paraId="39CFB24E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参与</w:t>
            </w:r>
          </w:p>
        </w:tc>
        <w:tc>
          <w:tcPr>
            <w:tcW w:w="1275" w:type="dxa"/>
            <w:vAlign w:val="center"/>
          </w:tcPr>
          <w:p w14:paraId="2ED96C0F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center"/>
          </w:tcPr>
          <w:p w14:paraId="5EF513A9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3F38AEEE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1201141A" w14:textId="77777777" w:rsidR="00E908BB" w:rsidRDefault="00A971D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102CB5A3" w14:textId="77777777" w:rsidR="00E908BB" w:rsidRDefault="00E908BB">
      <w:pPr>
        <w:adjustRightInd w:val="0"/>
        <w:snapToGrid w:val="0"/>
        <w:spacing w:line="288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43F5C89F" w14:textId="77777777" w:rsidR="00E908BB" w:rsidRDefault="00A971DA">
      <w:pPr>
        <w:pStyle w:val="1"/>
        <w:adjustRightInd w:val="0"/>
        <w:snapToGrid w:val="0"/>
        <w:spacing w:line="360" w:lineRule="auto"/>
        <w:ind w:leftChars="200" w:left="420" w:firstLineChars="0" w:firstLine="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四、评选程序</w:t>
      </w:r>
    </w:p>
    <w:p w14:paraId="73CC31E5" w14:textId="77777777" w:rsidR="00E908BB" w:rsidRDefault="00A971DA">
      <w:pPr>
        <w:pStyle w:val="1"/>
        <w:adjustRightInd w:val="0"/>
        <w:snapToGrid w:val="0"/>
        <w:spacing w:line="288" w:lineRule="auto"/>
        <w:ind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直接推荐：教师个人或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系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部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综合考虑，由申请教师填写当前学期“优课优酬”推荐表并提供相关佐证材料，上报所属各系。由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学院工作小组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组织完成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资格审查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并上报学院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经学院教学委员会审议、报学院党政联席会议并公示。拟推荐结果在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学院官网公示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个工作日以上，公示期内，教师如有异议，可向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学院工作小组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提出复议申请。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学院工作小组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受理教师复议申请，并提出处理意见。无异议后，上报学校。后期由学校组织公告，供广大师生进行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观摩与随堂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听课。</w:t>
      </w:r>
    </w:p>
    <w:p w14:paraId="7CE68F0D" w14:textId="77777777" w:rsidR="00E908BB" w:rsidRDefault="00A971DA">
      <w:pPr>
        <w:pStyle w:val="1"/>
        <w:adjustRightInd w:val="0"/>
        <w:snapToGrid w:val="0"/>
        <w:spacing w:line="288" w:lineRule="auto"/>
        <w:ind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自主申报：教师个人根据某一门课程的教学基本情况提出申请，在网络教学平台（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http://zjutykyc.zlgc2.chaoxing.com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）在线填写课程基本信息，按要求在规定时间内上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传相关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教学文档材料（授课计划、教学大纲、教学设计和佐证材料等），逾期将不能再次申报。评审专家组对申报评选的课程进行随堂听课和调查。</w:t>
      </w:r>
    </w:p>
    <w:p w14:paraId="7C8F0DB0" w14:textId="65726090" w:rsidR="00E908BB" w:rsidRDefault="00A971DA" w:rsidP="005F003D">
      <w:pPr>
        <w:pStyle w:val="1"/>
        <w:adjustRightInd w:val="0"/>
        <w:snapToGrid w:val="0"/>
        <w:spacing w:line="288" w:lineRule="auto"/>
        <w:ind w:firstLine="640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综合评审：结合申报课程的教学效果评价实施细节，由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学院工作小组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对申报课程进行评审。</w:t>
      </w:r>
      <w:bookmarkStart w:id="1" w:name="_GoBack"/>
      <w:bookmarkEnd w:id="1"/>
    </w:p>
    <w:p w14:paraId="3BCB56F8" w14:textId="77777777" w:rsidR="00E908BB" w:rsidRDefault="00A971DA">
      <w:pPr>
        <w:pStyle w:val="1"/>
        <w:adjustRightInd w:val="0"/>
        <w:snapToGrid w:val="0"/>
        <w:spacing w:line="288" w:lineRule="auto"/>
        <w:ind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学院审核：物理学院拟推荐校级“优课优酬”课程名单由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工作小组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上报学院后，学院根据小组推荐名单进行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插值排序，经学院教学委员会审议、报学院党政联席会议并公示。拟推荐结果在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学院官网公示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个工作日以上。公示期内，教师如有异议，可向工作小组提出复议申请。工作小组受理教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lastRenderedPageBreak/>
        <w:t>师复议申请，并提出处理意见。无异议后，上报学校。</w:t>
      </w:r>
    </w:p>
    <w:p w14:paraId="7F3C63C4" w14:textId="77777777" w:rsidR="00E908BB" w:rsidRDefault="00A971DA">
      <w:pPr>
        <w:pStyle w:val="1"/>
        <w:adjustRightInd w:val="0"/>
        <w:snapToGrid w:val="0"/>
        <w:spacing w:line="288" w:lineRule="auto"/>
        <w:ind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学校审核：学校组织校内专家，通过随堂听课和教学文档调阅等方式，对学院推荐课程进行审核，最终确定拟奖励名单。</w:t>
      </w:r>
    </w:p>
    <w:p w14:paraId="0D34EB2E" w14:textId="77777777" w:rsidR="00E908BB" w:rsidRDefault="00A971DA">
      <w:pPr>
        <w:pStyle w:val="1"/>
        <w:adjustRightInd w:val="0"/>
        <w:snapToGrid w:val="0"/>
        <w:spacing w:line="288" w:lineRule="auto"/>
        <w:ind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全程接受学院纪委监督。</w:t>
      </w:r>
    </w:p>
    <w:p w14:paraId="79948AA8" w14:textId="77777777" w:rsidR="00E908BB" w:rsidRDefault="00A971DA">
      <w:pPr>
        <w:pStyle w:val="1"/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五、其他</w:t>
      </w:r>
    </w:p>
    <w:p w14:paraId="5B5BBE3E" w14:textId="77777777" w:rsidR="00E908BB" w:rsidRDefault="00A971DA">
      <w:pPr>
        <w:pStyle w:val="1"/>
        <w:adjustRightInd w:val="0"/>
        <w:snapToGrid w:val="0"/>
        <w:spacing w:line="360" w:lineRule="auto"/>
        <w:ind w:firstLineChars="0" w:firstLine="567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本细则中未尽事宜由物理学院本科教学“优课优酬”奖励工作小组讨论决定。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739B7886" w14:textId="77777777" w:rsidR="00E908BB" w:rsidRDefault="00A971DA">
      <w:pPr>
        <w:pStyle w:val="1"/>
        <w:adjustRightInd w:val="0"/>
        <w:snapToGrid w:val="0"/>
        <w:spacing w:line="360" w:lineRule="auto"/>
        <w:ind w:firstLineChars="0" w:firstLine="567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     </w:t>
      </w:r>
    </w:p>
    <w:p w14:paraId="32CAD3E3" w14:textId="77777777" w:rsidR="00E908BB" w:rsidRDefault="00A971DA">
      <w:pPr>
        <w:spacing w:line="360" w:lineRule="auto"/>
        <w:jc w:val="righ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浙江工业大学物理学院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日</w:t>
      </w:r>
    </w:p>
    <w:sectPr w:rsidR="00E9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D137" w14:textId="77777777" w:rsidR="00A971DA" w:rsidRDefault="00A971DA" w:rsidP="005F003D">
      <w:r>
        <w:separator/>
      </w:r>
    </w:p>
  </w:endnote>
  <w:endnote w:type="continuationSeparator" w:id="0">
    <w:p w14:paraId="2AC03EB0" w14:textId="77777777" w:rsidR="00A971DA" w:rsidRDefault="00A971DA" w:rsidP="005F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6B7B5" w14:textId="77777777" w:rsidR="00A971DA" w:rsidRDefault="00A971DA" w:rsidP="005F003D">
      <w:r>
        <w:separator/>
      </w:r>
    </w:p>
  </w:footnote>
  <w:footnote w:type="continuationSeparator" w:id="0">
    <w:p w14:paraId="6BF98D12" w14:textId="77777777" w:rsidR="00A971DA" w:rsidRDefault="00A971DA" w:rsidP="005F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1ODY1MWE2NGE2MmVkYzk1ZmZiM2EyNjVmZWFkYTAifQ=="/>
  </w:docVars>
  <w:rsids>
    <w:rsidRoot w:val="00B75E28"/>
    <w:rsid w:val="B34E3D12"/>
    <w:rsid w:val="B5B738FA"/>
    <w:rsid w:val="BDEFCB18"/>
    <w:rsid w:val="BFAA2959"/>
    <w:rsid w:val="BFB735FE"/>
    <w:rsid w:val="D267778D"/>
    <w:rsid w:val="E6FC0B70"/>
    <w:rsid w:val="EBFBB128"/>
    <w:rsid w:val="EF6AE3E1"/>
    <w:rsid w:val="F3674D4C"/>
    <w:rsid w:val="F7EAE504"/>
    <w:rsid w:val="F8DD515A"/>
    <w:rsid w:val="FDBB3838"/>
    <w:rsid w:val="FDD04D83"/>
    <w:rsid w:val="FDFB887D"/>
    <w:rsid w:val="FF2FFEDA"/>
    <w:rsid w:val="FF9B5BA1"/>
    <w:rsid w:val="FFD8B3D5"/>
    <w:rsid w:val="FFFFE54C"/>
    <w:rsid w:val="00041DEE"/>
    <w:rsid w:val="00080A4D"/>
    <w:rsid w:val="000814D2"/>
    <w:rsid w:val="000A745F"/>
    <w:rsid w:val="001534D7"/>
    <w:rsid w:val="0015783C"/>
    <w:rsid w:val="001C7D47"/>
    <w:rsid w:val="001E55CD"/>
    <w:rsid w:val="001E6C16"/>
    <w:rsid w:val="00242ACB"/>
    <w:rsid w:val="00267BBA"/>
    <w:rsid w:val="00274C58"/>
    <w:rsid w:val="002C0638"/>
    <w:rsid w:val="002E5B95"/>
    <w:rsid w:val="003464ED"/>
    <w:rsid w:val="003A2D27"/>
    <w:rsid w:val="003A4390"/>
    <w:rsid w:val="003D1273"/>
    <w:rsid w:val="004124EF"/>
    <w:rsid w:val="00415525"/>
    <w:rsid w:val="0047142A"/>
    <w:rsid w:val="004829D5"/>
    <w:rsid w:val="004D1492"/>
    <w:rsid w:val="004F6372"/>
    <w:rsid w:val="00571198"/>
    <w:rsid w:val="00584D38"/>
    <w:rsid w:val="005A23F8"/>
    <w:rsid w:val="005F003D"/>
    <w:rsid w:val="005F5D17"/>
    <w:rsid w:val="00651E9C"/>
    <w:rsid w:val="00684165"/>
    <w:rsid w:val="00691F21"/>
    <w:rsid w:val="006B03E2"/>
    <w:rsid w:val="006B6379"/>
    <w:rsid w:val="006D483E"/>
    <w:rsid w:val="006E4342"/>
    <w:rsid w:val="00712A94"/>
    <w:rsid w:val="0072300D"/>
    <w:rsid w:val="00787DA7"/>
    <w:rsid w:val="007B4789"/>
    <w:rsid w:val="007C1294"/>
    <w:rsid w:val="007D5E28"/>
    <w:rsid w:val="007D6A53"/>
    <w:rsid w:val="007F7E53"/>
    <w:rsid w:val="00834746"/>
    <w:rsid w:val="00855098"/>
    <w:rsid w:val="008817D3"/>
    <w:rsid w:val="008960CD"/>
    <w:rsid w:val="008C2EDE"/>
    <w:rsid w:val="008C34E6"/>
    <w:rsid w:val="008D12AE"/>
    <w:rsid w:val="009173DB"/>
    <w:rsid w:val="00923ACE"/>
    <w:rsid w:val="00943742"/>
    <w:rsid w:val="00955235"/>
    <w:rsid w:val="0098027F"/>
    <w:rsid w:val="009A6D23"/>
    <w:rsid w:val="009A7E89"/>
    <w:rsid w:val="009B60C6"/>
    <w:rsid w:val="00A14A93"/>
    <w:rsid w:val="00A723B1"/>
    <w:rsid w:val="00A73F14"/>
    <w:rsid w:val="00A971DA"/>
    <w:rsid w:val="00AE400B"/>
    <w:rsid w:val="00B3578C"/>
    <w:rsid w:val="00B51A9B"/>
    <w:rsid w:val="00B72EC0"/>
    <w:rsid w:val="00B75E28"/>
    <w:rsid w:val="00B8103A"/>
    <w:rsid w:val="00BA6A0F"/>
    <w:rsid w:val="00BB2CB0"/>
    <w:rsid w:val="00BE45D8"/>
    <w:rsid w:val="00C065D6"/>
    <w:rsid w:val="00C11D40"/>
    <w:rsid w:val="00C22E56"/>
    <w:rsid w:val="00C51F06"/>
    <w:rsid w:val="00C73242"/>
    <w:rsid w:val="00C86B91"/>
    <w:rsid w:val="00CE0FC1"/>
    <w:rsid w:val="00CF43D4"/>
    <w:rsid w:val="00CF47C0"/>
    <w:rsid w:val="00D07F38"/>
    <w:rsid w:val="00D80C27"/>
    <w:rsid w:val="00D96FE1"/>
    <w:rsid w:val="00DE7E09"/>
    <w:rsid w:val="00E16ED6"/>
    <w:rsid w:val="00E42DF9"/>
    <w:rsid w:val="00E437A5"/>
    <w:rsid w:val="00E442CA"/>
    <w:rsid w:val="00E66E5B"/>
    <w:rsid w:val="00E66F46"/>
    <w:rsid w:val="00E7745F"/>
    <w:rsid w:val="00E908BB"/>
    <w:rsid w:val="00EC04C6"/>
    <w:rsid w:val="00ED5986"/>
    <w:rsid w:val="00EE4E15"/>
    <w:rsid w:val="00F17E41"/>
    <w:rsid w:val="00FA4E1D"/>
    <w:rsid w:val="00FB5471"/>
    <w:rsid w:val="00FC4B48"/>
    <w:rsid w:val="00FF54B7"/>
    <w:rsid w:val="01F15186"/>
    <w:rsid w:val="02246415"/>
    <w:rsid w:val="022A5CF4"/>
    <w:rsid w:val="02B726F0"/>
    <w:rsid w:val="02F06343"/>
    <w:rsid w:val="0361265C"/>
    <w:rsid w:val="03DE3F4D"/>
    <w:rsid w:val="04090D29"/>
    <w:rsid w:val="042752BA"/>
    <w:rsid w:val="043D5E4F"/>
    <w:rsid w:val="054F004D"/>
    <w:rsid w:val="06324807"/>
    <w:rsid w:val="065D35AE"/>
    <w:rsid w:val="066C414C"/>
    <w:rsid w:val="069732D1"/>
    <w:rsid w:val="06D27AF8"/>
    <w:rsid w:val="07724E37"/>
    <w:rsid w:val="07A33243"/>
    <w:rsid w:val="07C37441"/>
    <w:rsid w:val="07DC06AC"/>
    <w:rsid w:val="07F11239"/>
    <w:rsid w:val="09F16729"/>
    <w:rsid w:val="0A1B3564"/>
    <w:rsid w:val="0AE93662"/>
    <w:rsid w:val="0B84338B"/>
    <w:rsid w:val="0BC96FF0"/>
    <w:rsid w:val="0C6F7B97"/>
    <w:rsid w:val="0CA07B74"/>
    <w:rsid w:val="0CA21D1B"/>
    <w:rsid w:val="0CC954FA"/>
    <w:rsid w:val="0CDD5F03"/>
    <w:rsid w:val="0CEF6D4C"/>
    <w:rsid w:val="0D947630"/>
    <w:rsid w:val="0DC30E43"/>
    <w:rsid w:val="0DE10B00"/>
    <w:rsid w:val="0E8042DE"/>
    <w:rsid w:val="0EC0451A"/>
    <w:rsid w:val="0F42154F"/>
    <w:rsid w:val="0F73799F"/>
    <w:rsid w:val="0F87344A"/>
    <w:rsid w:val="10135531"/>
    <w:rsid w:val="103D7805"/>
    <w:rsid w:val="10565B13"/>
    <w:rsid w:val="108C42D0"/>
    <w:rsid w:val="10947BCD"/>
    <w:rsid w:val="10C009C2"/>
    <w:rsid w:val="10DB57FB"/>
    <w:rsid w:val="126F21BD"/>
    <w:rsid w:val="12720067"/>
    <w:rsid w:val="12764C9B"/>
    <w:rsid w:val="12A6008B"/>
    <w:rsid w:val="12E102FB"/>
    <w:rsid w:val="12E54DAC"/>
    <w:rsid w:val="12F708E7"/>
    <w:rsid w:val="139A7BF0"/>
    <w:rsid w:val="13B54A2A"/>
    <w:rsid w:val="140E29B7"/>
    <w:rsid w:val="146A67FE"/>
    <w:rsid w:val="14A472C1"/>
    <w:rsid w:val="15152E7E"/>
    <w:rsid w:val="15712BD2"/>
    <w:rsid w:val="162256F4"/>
    <w:rsid w:val="16FF6B2D"/>
    <w:rsid w:val="173717FD"/>
    <w:rsid w:val="176E561B"/>
    <w:rsid w:val="17AA23CB"/>
    <w:rsid w:val="17CF598E"/>
    <w:rsid w:val="17E94CA2"/>
    <w:rsid w:val="181B6E25"/>
    <w:rsid w:val="182B3C34"/>
    <w:rsid w:val="18316A89"/>
    <w:rsid w:val="185C2BC0"/>
    <w:rsid w:val="186B1B5B"/>
    <w:rsid w:val="186D3BFD"/>
    <w:rsid w:val="18EE0096"/>
    <w:rsid w:val="19106169"/>
    <w:rsid w:val="195B1BCF"/>
    <w:rsid w:val="1A372515"/>
    <w:rsid w:val="1B7E3953"/>
    <w:rsid w:val="1B866CAC"/>
    <w:rsid w:val="1BC14FF6"/>
    <w:rsid w:val="1BC577D4"/>
    <w:rsid w:val="1C166356"/>
    <w:rsid w:val="1C1C6D9C"/>
    <w:rsid w:val="1C3D55BC"/>
    <w:rsid w:val="1CD81789"/>
    <w:rsid w:val="1D02361A"/>
    <w:rsid w:val="1D167BBB"/>
    <w:rsid w:val="1D491D3F"/>
    <w:rsid w:val="1E4D0B11"/>
    <w:rsid w:val="1ED0122D"/>
    <w:rsid w:val="1F545C16"/>
    <w:rsid w:val="1F58270D"/>
    <w:rsid w:val="1F5E5F75"/>
    <w:rsid w:val="1F7532BF"/>
    <w:rsid w:val="1FD456C8"/>
    <w:rsid w:val="200D34F7"/>
    <w:rsid w:val="204431AA"/>
    <w:rsid w:val="20EB70C9"/>
    <w:rsid w:val="20ED662C"/>
    <w:rsid w:val="20F87D04"/>
    <w:rsid w:val="21696E53"/>
    <w:rsid w:val="21E87D78"/>
    <w:rsid w:val="228219CA"/>
    <w:rsid w:val="23713D9D"/>
    <w:rsid w:val="239F5F43"/>
    <w:rsid w:val="23F5677C"/>
    <w:rsid w:val="24C11FCA"/>
    <w:rsid w:val="251C3507"/>
    <w:rsid w:val="25AD78E2"/>
    <w:rsid w:val="25B835F6"/>
    <w:rsid w:val="25CE3AD0"/>
    <w:rsid w:val="262E5227"/>
    <w:rsid w:val="26357304"/>
    <w:rsid w:val="26FE0B46"/>
    <w:rsid w:val="270475C8"/>
    <w:rsid w:val="27732EE4"/>
    <w:rsid w:val="279F6A52"/>
    <w:rsid w:val="27AA2E42"/>
    <w:rsid w:val="283D6944"/>
    <w:rsid w:val="284967E1"/>
    <w:rsid w:val="285E6FE6"/>
    <w:rsid w:val="28A914B3"/>
    <w:rsid w:val="294F4B81"/>
    <w:rsid w:val="296A3769"/>
    <w:rsid w:val="29895954"/>
    <w:rsid w:val="2A1D4C7F"/>
    <w:rsid w:val="2AAF3B29"/>
    <w:rsid w:val="2BD61589"/>
    <w:rsid w:val="2C01645D"/>
    <w:rsid w:val="2C616A9F"/>
    <w:rsid w:val="2CD0422B"/>
    <w:rsid w:val="2CFC6DCE"/>
    <w:rsid w:val="2DE01F78"/>
    <w:rsid w:val="2E7221A8"/>
    <w:rsid w:val="2E837BD7"/>
    <w:rsid w:val="2F307202"/>
    <w:rsid w:val="2FBC3E7F"/>
    <w:rsid w:val="30E107B4"/>
    <w:rsid w:val="31102E48"/>
    <w:rsid w:val="31A32B9D"/>
    <w:rsid w:val="31D47285"/>
    <w:rsid w:val="31EE13DB"/>
    <w:rsid w:val="32101390"/>
    <w:rsid w:val="321E197E"/>
    <w:rsid w:val="32221084"/>
    <w:rsid w:val="32C4213C"/>
    <w:rsid w:val="32F26CA9"/>
    <w:rsid w:val="33B65F28"/>
    <w:rsid w:val="33C10429"/>
    <w:rsid w:val="341151CD"/>
    <w:rsid w:val="341620AE"/>
    <w:rsid w:val="345D3B12"/>
    <w:rsid w:val="34D843EB"/>
    <w:rsid w:val="34DF625F"/>
    <w:rsid w:val="355359F9"/>
    <w:rsid w:val="35F83386"/>
    <w:rsid w:val="36356EAC"/>
    <w:rsid w:val="365A27F2"/>
    <w:rsid w:val="37B54749"/>
    <w:rsid w:val="37DE77FC"/>
    <w:rsid w:val="386817BB"/>
    <w:rsid w:val="38A20525"/>
    <w:rsid w:val="38EE7F12"/>
    <w:rsid w:val="39175FEC"/>
    <w:rsid w:val="392C27E9"/>
    <w:rsid w:val="39390702"/>
    <w:rsid w:val="39B0341A"/>
    <w:rsid w:val="39B5458C"/>
    <w:rsid w:val="39BFA1F9"/>
    <w:rsid w:val="39CC4321"/>
    <w:rsid w:val="39D83AD0"/>
    <w:rsid w:val="3A053765"/>
    <w:rsid w:val="3B691AD2"/>
    <w:rsid w:val="3B7DCC42"/>
    <w:rsid w:val="3BE63123"/>
    <w:rsid w:val="3C145EE2"/>
    <w:rsid w:val="3C352564"/>
    <w:rsid w:val="3C37531A"/>
    <w:rsid w:val="3C6504EB"/>
    <w:rsid w:val="3C796961"/>
    <w:rsid w:val="3C8A1D00"/>
    <w:rsid w:val="3CCF2D6C"/>
    <w:rsid w:val="3CE65F6A"/>
    <w:rsid w:val="3D7217BF"/>
    <w:rsid w:val="3DC33E4B"/>
    <w:rsid w:val="3DEA6707"/>
    <w:rsid w:val="3E03620E"/>
    <w:rsid w:val="3EFFF42F"/>
    <w:rsid w:val="3F5F53C7"/>
    <w:rsid w:val="3FD91FBA"/>
    <w:rsid w:val="400E49F6"/>
    <w:rsid w:val="402363AA"/>
    <w:rsid w:val="409D2AFC"/>
    <w:rsid w:val="40F462E2"/>
    <w:rsid w:val="410B53D9"/>
    <w:rsid w:val="418C6D40"/>
    <w:rsid w:val="41A507D1"/>
    <w:rsid w:val="41CD7B53"/>
    <w:rsid w:val="41EE2D31"/>
    <w:rsid w:val="41FA6F58"/>
    <w:rsid w:val="425A6D12"/>
    <w:rsid w:val="42D02437"/>
    <w:rsid w:val="430E5DC1"/>
    <w:rsid w:val="43D907AD"/>
    <w:rsid w:val="44254A04"/>
    <w:rsid w:val="44C6518C"/>
    <w:rsid w:val="45026062"/>
    <w:rsid w:val="453E6C1B"/>
    <w:rsid w:val="455170C1"/>
    <w:rsid w:val="46BF6A4A"/>
    <w:rsid w:val="46FA0ADD"/>
    <w:rsid w:val="482D3E87"/>
    <w:rsid w:val="484934D8"/>
    <w:rsid w:val="484C4C7D"/>
    <w:rsid w:val="486024AF"/>
    <w:rsid w:val="487B1097"/>
    <w:rsid w:val="48CD579B"/>
    <w:rsid w:val="49734ABC"/>
    <w:rsid w:val="49885819"/>
    <w:rsid w:val="499718FB"/>
    <w:rsid w:val="499F2B63"/>
    <w:rsid w:val="49A02A1C"/>
    <w:rsid w:val="4A717A41"/>
    <w:rsid w:val="4A735A25"/>
    <w:rsid w:val="4A7747C2"/>
    <w:rsid w:val="4AC1703F"/>
    <w:rsid w:val="4BC233BF"/>
    <w:rsid w:val="4BDE3E16"/>
    <w:rsid w:val="4C15710C"/>
    <w:rsid w:val="4C39342B"/>
    <w:rsid w:val="4C4A494F"/>
    <w:rsid w:val="4D113D78"/>
    <w:rsid w:val="4D7560E1"/>
    <w:rsid w:val="4DC40DEA"/>
    <w:rsid w:val="4E51661F"/>
    <w:rsid w:val="4F3501F1"/>
    <w:rsid w:val="4F7F65F9"/>
    <w:rsid w:val="4F974A08"/>
    <w:rsid w:val="50046EE9"/>
    <w:rsid w:val="506348EA"/>
    <w:rsid w:val="51870AAC"/>
    <w:rsid w:val="51AD5C4E"/>
    <w:rsid w:val="51C74B4A"/>
    <w:rsid w:val="51DB26AA"/>
    <w:rsid w:val="530A7D45"/>
    <w:rsid w:val="53765FD6"/>
    <w:rsid w:val="53DD2C05"/>
    <w:rsid w:val="54116A3B"/>
    <w:rsid w:val="541A79B6"/>
    <w:rsid w:val="5423465F"/>
    <w:rsid w:val="546A755E"/>
    <w:rsid w:val="54A65F38"/>
    <w:rsid w:val="550A17D8"/>
    <w:rsid w:val="551F6665"/>
    <w:rsid w:val="555962BC"/>
    <w:rsid w:val="55A86ADE"/>
    <w:rsid w:val="561D2E6B"/>
    <w:rsid w:val="56577746"/>
    <w:rsid w:val="5677495C"/>
    <w:rsid w:val="571C57F3"/>
    <w:rsid w:val="573963A5"/>
    <w:rsid w:val="57BB2CF1"/>
    <w:rsid w:val="58403E1F"/>
    <w:rsid w:val="58533496"/>
    <w:rsid w:val="585A4825"/>
    <w:rsid w:val="588126A4"/>
    <w:rsid w:val="58E6255C"/>
    <w:rsid w:val="59457283"/>
    <w:rsid w:val="59513E7A"/>
    <w:rsid w:val="59710ED9"/>
    <w:rsid w:val="59E2755E"/>
    <w:rsid w:val="5A1B7FE4"/>
    <w:rsid w:val="5A292701"/>
    <w:rsid w:val="5A544032"/>
    <w:rsid w:val="5AA2242E"/>
    <w:rsid w:val="5AD22D98"/>
    <w:rsid w:val="5AD626E6"/>
    <w:rsid w:val="5ADC38B9"/>
    <w:rsid w:val="5B5EE097"/>
    <w:rsid w:val="5BC1388C"/>
    <w:rsid w:val="5BD26BFB"/>
    <w:rsid w:val="5BE62041"/>
    <w:rsid w:val="5C734FE7"/>
    <w:rsid w:val="5C9D73D6"/>
    <w:rsid w:val="5CFF599B"/>
    <w:rsid w:val="5D7A6C6C"/>
    <w:rsid w:val="5E2C6C63"/>
    <w:rsid w:val="5E353E29"/>
    <w:rsid w:val="5E5FC5DD"/>
    <w:rsid w:val="5E77F4BE"/>
    <w:rsid w:val="5F8C218A"/>
    <w:rsid w:val="606B69D6"/>
    <w:rsid w:val="608A7C71"/>
    <w:rsid w:val="60D066A6"/>
    <w:rsid w:val="60F0369B"/>
    <w:rsid w:val="611540D4"/>
    <w:rsid w:val="61D05B58"/>
    <w:rsid w:val="62397BA1"/>
    <w:rsid w:val="62862FC1"/>
    <w:rsid w:val="628A21AA"/>
    <w:rsid w:val="62B64D4D"/>
    <w:rsid w:val="62BA0985"/>
    <w:rsid w:val="631A6F07"/>
    <w:rsid w:val="63660521"/>
    <w:rsid w:val="636A6E6A"/>
    <w:rsid w:val="64543163"/>
    <w:rsid w:val="64783652"/>
    <w:rsid w:val="65984AD3"/>
    <w:rsid w:val="66134265"/>
    <w:rsid w:val="669C425A"/>
    <w:rsid w:val="677F6056"/>
    <w:rsid w:val="681738E9"/>
    <w:rsid w:val="69051725"/>
    <w:rsid w:val="693B7D5A"/>
    <w:rsid w:val="6A3D5DF6"/>
    <w:rsid w:val="6AED6170"/>
    <w:rsid w:val="6C0B6F5D"/>
    <w:rsid w:val="6C845C62"/>
    <w:rsid w:val="6C9663FB"/>
    <w:rsid w:val="6CB95B66"/>
    <w:rsid w:val="6D005DDB"/>
    <w:rsid w:val="6D6D7889"/>
    <w:rsid w:val="6DFA33E2"/>
    <w:rsid w:val="6DFD5F88"/>
    <w:rsid w:val="6EB75C56"/>
    <w:rsid w:val="6EEA2E3D"/>
    <w:rsid w:val="6EF75EF6"/>
    <w:rsid w:val="6F4F4260"/>
    <w:rsid w:val="6FB6638D"/>
    <w:rsid w:val="6FCA008A"/>
    <w:rsid w:val="719B1CDE"/>
    <w:rsid w:val="71A843FB"/>
    <w:rsid w:val="71C1544E"/>
    <w:rsid w:val="71D8533B"/>
    <w:rsid w:val="726031CB"/>
    <w:rsid w:val="72897D89"/>
    <w:rsid w:val="72A42E14"/>
    <w:rsid w:val="735B2D23"/>
    <w:rsid w:val="73E765D7"/>
    <w:rsid w:val="73E97858"/>
    <w:rsid w:val="742C0888"/>
    <w:rsid w:val="74FB14A6"/>
    <w:rsid w:val="7513602F"/>
    <w:rsid w:val="751C40B3"/>
    <w:rsid w:val="7584105D"/>
    <w:rsid w:val="763B583E"/>
    <w:rsid w:val="77092742"/>
    <w:rsid w:val="77BE7813"/>
    <w:rsid w:val="77F31337"/>
    <w:rsid w:val="78EF183C"/>
    <w:rsid w:val="79D76D56"/>
    <w:rsid w:val="7ABFDBB0"/>
    <w:rsid w:val="7AEF0803"/>
    <w:rsid w:val="7AEF3CFA"/>
    <w:rsid w:val="7B344841"/>
    <w:rsid w:val="7BA67BFD"/>
    <w:rsid w:val="7BAF50CA"/>
    <w:rsid w:val="7BD36518"/>
    <w:rsid w:val="7BFB8C23"/>
    <w:rsid w:val="7C6D2CCB"/>
    <w:rsid w:val="7CE21BD2"/>
    <w:rsid w:val="7D2347EE"/>
    <w:rsid w:val="7E221091"/>
    <w:rsid w:val="7E2B5EA8"/>
    <w:rsid w:val="7E585F78"/>
    <w:rsid w:val="7E5C45A3"/>
    <w:rsid w:val="7E7F3EBB"/>
    <w:rsid w:val="7FED0A4C"/>
    <w:rsid w:val="7FFF18FC"/>
    <w:rsid w:val="8F37C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7728D"/>
  <w15:docId w15:val="{F6298CDA-8300-498D-BA62-92F2866A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F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00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00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394</Words>
  <Characters>2249</Characters>
  <Application>Microsoft Office Word</Application>
  <DocSecurity>0</DocSecurity>
  <Lines>18</Lines>
  <Paragraphs>5</Paragraphs>
  <ScaleCrop>false</ScaleCrop>
  <Company>CHINA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HP</cp:lastModifiedBy>
  <cp:revision>91</cp:revision>
  <cp:lastPrinted>2022-09-05T01:48:00Z</cp:lastPrinted>
  <dcterms:created xsi:type="dcterms:W3CDTF">2021-05-28T01:12:00Z</dcterms:created>
  <dcterms:modified xsi:type="dcterms:W3CDTF">2024-10-29T07:08:00Z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996A406862324673BD9725B8D59AA311_13</vt:lpwstr>
  </property>
</Properties>
</file>